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850"/>
        <w:contextualSpacing w:val="1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 том,</w:t>
      </w:r>
      <w:r>
        <w:rPr>
          <w:sz w:val="28"/>
        </w:rPr>
        <w:t xml:space="preserve"> </w:t>
      </w:r>
      <w:r>
        <w:rPr>
          <w:sz w:val="28"/>
        </w:rPr>
        <w:t>как</w:t>
      </w:r>
      <w:r>
        <w:rPr>
          <w:sz w:val="28"/>
        </w:rPr>
        <w:t xml:space="preserve"> изменится проведение када</w:t>
      </w:r>
      <w:r>
        <w:rPr>
          <w:sz w:val="28"/>
        </w:rPr>
        <w:t xml:space="preserve">стровой оценки в 2021 - 2023 годах поделились в Управлении </w:t>
      </w:r>
      <w:r>
        <w:rPr>
          <w:sz w:val="28"/>
        </w:rPr>
        <w:t>Росреестра</w:t>
      </w:r>
      <w:r>
        <w:rPr>
          <w:sz w:val="28"/>
        </w:rPr>
        <w:t xml:space="preserve"> по Кабардино-Балкарской Республике.</w:t>
      </w:r>
      <w:r>
        <w:rPr>
          <w:sz w:val="28"/>
        </w:rPr>
        <w:t xml:space="preserve">          Теперь </w:t>
      </w:r>
      <w:r>
        <w:rPr>
          <w:sz w:val="28"/>
        </w:rPr>
        <w:t>с 2021 года</w:t>
      </w:r>
      <w:r>
        <w:rPr>
          <w:sz w:val="28"/>
        </w:rPr>
        <w:t xml:space="preserve"> при определении кадастровой стоимости будут учитываться сведения, которые на нее влияют в силу указания закона. Например, в отношении зданий, помещений, </w:t>
      </w:r>
      <w:r>
        <w:rPr>
          <w:sz w:val="28"/>
        </w:rPr>
        <w:t>машино</w:t>
      </w:r>
      <w:r>
        <w:rPr>
          <w:sz w:val="28"/>
        </w:rPr>
        <w:t>-мест важны данные об их местоположении, годе постройки, материале стен, серии многоквартирного дома, сведения о ветхом или аварийном состоянии. А в отношении земельных участков учитываются местоположение, нахождение в границах зоны с особыми условиями использования территории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 2022 года</w:t>
      </w:r>
      <w:r>
        <w:rPr>
          <w:sz w:val="28"/>
        </w:rPr>
        <w:t xml:space="preserve"> очередная кадастровая оценка земельных участков будет осуществляться </w:t>
      </w:r>
      <w:r>
        <w:rPr>
          <w:sz w:val="28"/>
        </w:rPr>
        <w:t>каждые</w:t>
      </w:r>
      <w:r>
        <w:rPr>
          <w:sz w:val="28"/>
        </w:rPr>
        <w:t xml:space="preserve"> четыре года с года проведения последней оценки, а в городах федерального значения - через два года, если высший исполнительный орган власти субъекта РФ примет соответствующее решение. При этом в 2022 году оценка земельных участков должна быть проведена во всех субъектах РФ без учета ограничений периодичности</w:t>
      </w:r>
      <w:r>
        <w:rPr>
          <w:sz w:val="28"/>
        </w:rPr>
        <w:t>.</w:t>
      </w:r>
      <w:r>
        <w:rPr>
          <w:sz w:val="28"/>
        </w:rPr>
        <w:t xml:space="preserve"> С 2023 года с указанной периодичностью будет осуществляться очередная кадастровая оценка зданий, помещений, сооружений, объектов незавершенного строительства, </w:t>
      </w:r>
      <w:r>
        <w:rPr>
          <w:sz w:val="28"/>
        </w:rPr>
        <w:t>машино</w:t>
      </w:r>
      <w:r>
        <w:rPr>
          <w:sz w:val="28"/>
        </w:rPr>
        <w:t xml:space="preserve">-мест. </w:t>
      </w:r>
      <w:r>
        <w:rPr>
          <w:sz w:val="28"/>
        </w:rPr>
        <w:t xml:space="preserve">Так же </w:t>
      </w:r>
      <w:r>
        <w:rPr>
          <w:sz w:val="28"/>
        </w:rPr>
        <w:t xml:space="preserve">в 2023 году их оценка должна быть проведена во всех субъектах РФ без </w:t>
      </w:r>
      <w:r>
        <w:rPr>
          <w:sz w:val="28"/>
        </w:rPr>
        <w:t>учета ограничений периодичности.</w:t>
      </w:r>
    </w:p>
    <w:p w14:paraId="02000000">
      <w:pPr>
        <w:ind w:firstLine="850"/>
        <w:contextualSpacing w:val="1"/>
        <w:jc w:val="both"/>
        <w:rPr>
          <w:color w:themeColor="text1" w:val="000000"/>
          <w:sz w:val="28"/>
        </w:rPr>
      </w:pPr>
      <w:r>
        <w:rPr>
          <w:sz w:val="28"/>
        </w:rPr>
        <w:t>Федеральным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от 31.07.2020 №269-Ф</w:t>
      </w:r>
      <w:r>
        <w:rPr>
          <w:sz w:val="28"/>
        </w:rPr>
        <w:t>З «</w:t>
      </w:r>
      <w:r>
        <w:rPr>
          <w:sz w:val="28"/>
        </w:rPr>
        <w:t>О внесении изменений в отдельные законодате</w:t>
      </w:r>
      <w:r>
        <w:rPr>
          <w:sz w:val="28"/>
        </w:rPr>
        <w:t xml:space="preserve">льные акты Российской Федерации» в закон о государственной кадастровой оценке введена новая статья, которая предусматривает использование </w:t>
      </w:r>
      <w:r>
        <w:rPr>
          <w:sz w:val="28"/>
        </w:rPr>
        <w:t>индексов</w:t>
      </w:r>
      <w:r>
        <w:rPr>
          <w:sz w:val="28"/>
        </w:rPr>
        <w:t xml:space="preserve"> рынка недвижимости в целях изменения кадастровой стоимости, сведения </w:t>
      </w:r>
      <w:r>
        <w:rPr>
          <w:color w:themeColor="text1" w:val="000000"/>
          <w:sz w:val="28"/>
        </w:rPr>
        <w:t>о которой содержатся в Едином госуд</w:t>
      </w:r>
      <w:r>
        <w:rPr>
          <w:color w:themeColor="text1" w:val="000000"/>
          <w:sz w:val="28"/>
        </w:rPr>
        <w:t>арственном реестре недвижимости.</w:t>
      </w:r>
      <w:r>
        <w:rPr>
          <w:color w:themeColor="text1" w:val="000000"/>
          <w:sz w:val="28"/>
        </w:rPr>
        <w:t xml:space="preserve"> </w:t>
      </w:r>
    </w:p>
    <w:p w14:paraId="03000000">
      <w:pPr>
        <w:spacing w:before="280"/>
        <w:ind w:firstLine="85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О</w:t>
      </w:r>
      <w:bookmarkStart w:id="1" w:name="_GoBack"/>
      <w:bookmarkEnd w:id="1"/>
      <w:r>
        <w:rPr>
          <w:color w:themeColor="text1" w:val="000000"/>
          <w:sz w:val="28"/>
        </w:rPr>
        <w:t xml:space="preserve">пределять индексы рынка недвижимости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"consultantplus://offline/ref=3B12DBF9DA4F655A3950E90BE1558BF5719DA2E8B57756A93B87D5CB504B7DD2DA1D1324CA04FF57AFB43E2D7D02788C1445124184E7FE02P0i0J"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должна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К</w:t>
      </w:r>
      <w:r>
        <w:rPr>
          <w:color w:themeColor="text1" w:val="000000"/>
          <w:sz w:val="28"/>
        </w:rPr>
        <w:t xml:space="preserve">адастровая палата. При снижении показателя более чем на 30% палата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"consultantplus://offline/ref=3B12DBF9DA4F655A3950E90BE1558BF5719DA3E7BF7156A93B87D5CB504B7DD2DA1D132CCF0FAB06E2EA677D3A49748D09591343P9iAJ"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инициирует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внесение изменений в ЕГРН в части снижения кадастровой стоимости. Исключение - случаи, когда она </w:t>
      </w:r>
      <w:r>
        <w:rPr>
          <w:color w:themeColor="text1" w:val="000000"/>
          <w:sz w:val="28"/>
        </w:rPr>
        <w:t>установлена в размере рыночной.</w:t>
      </w:r>
    </w:p>
    <w:p w14:paraId="04000000">
      <w:pPr>
        <w:spacing w:before="280"/>
        <w:ind w:firstLine="85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Так же вводится</w:t>
      </w:r>
      <w:r>
        <w:rPr>
          <w:color w:themeColor="text1" w:val="000000"/>
          <w:sz w:val="28"/>
        </w:rPr>
        <w:t xml:space="preserve"> новый механизм досудебного обжалования результатов кадастровой оценки. Заявления об установлении индивидуальной рыночной оценки в качестве кадастровой рассматривают бюджетные учреждения, занимающиеся кадастровой оценкой. До 2023 года этот механизм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"consultantplus://offline/ref=3B12DBF9DA4F655A3950E90BE1558BF5719DA3E9B47256A93B87D5CB504B7DD2DA1D1324CA04FD5EA6B43E2D7D02788C1445124184E7FE02P0i0J"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может применяться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только в тех регионах, которые ввели его на своей территории. </w:t>
      </w:r>
    </w:p>
    <w:p w14:paraId="05000000">
      <w:pPr>
        <w:ind w:firstLine="850"/>
        <w:contextualSpacing w:val="1"/>
        <w:jc w:val="both"/>
        <w:rPr>
          <w:color w:themeColor="text1" w:val="000000"/>
          <w:sz w:val="28"/>
        </w:rPr>
      </w:pPr>
    </w:p>
    <w:sectPr>
      <w:pgSz w:h="16838" w:w="11905"/>
      <w:pgMar w:bottom="1440" w:footer="0" w:gutter="0" w:header="0" w:left="1133" w:right="565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Emphasis"/>
    <w:basedOn w:val="Style_2"/>
    <w:link w:val="Style_7_ch"/>
    <w:rPr>
      <w:i w:val="1"/>
    </w:rPr>
  </w:style>
  <w:style w:styleId="Style_7_ch" w:type="character">
    <w:name w:val="Emphasis"/>
    <w:basedOn w:val="Style_2_ch"/>
    <w:link w:val="Style_7"/>
    <w:rPr>
      <w:i w:val="1"/>
    </w:rPr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1"/>
    <w:link w:val="Style_9_ch"/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toc 3"/>
    <w:next w:val="Style_1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2"/>
    <w:link w:val="Style_13_ch"/>
    <w:rPr>
      <w:color w:val="0000FF"/>
      <w:u w:val="single"/>
    </w:rPr>
  </w:style>
  <w:style w:styleId="Style_13_ch" w:type="character">
    <w:name w:val="Hyperlink"/>
    <w:basedOn w:val="Style_2_ch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Normal (Web)"/>
    <w:basedOn w:val="Style_1"/>
    <w:link w:val="Style_18_ch"/>
    <w:pPr>
      <w:spacing w:afterAutospacing="on" w:beforeAutospacing="on"/>
      <w:ind/>
    </w:pPr>
  </w:style>
  <w:style w:styleId="Style_18_ch" w:type="character">
    <w:name w:val="Normal (Web)"/>
    <w:basedOn w:val="Style_1_ch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1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1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1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26" w:type="paragraph">
    <w:name w:val="apple-converted-space"/>
    <w:basedOn w:val="Style_2"/>
    <w:link w:val="Style_26_ch"/>
  </w:style>
  <w:style w:styleId="Style_26_ch" w:type="character">
    <w:name w:val="apple-converted-space"/>
    <w:basedOn w:val="Style_2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2020-10-13T13:18:21Z</dcterms:modified>
</cp:coreProperties>
</file>