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709"/>
        <w:contextualSpacing w:val="1"/>
        <w:jc w:val="both"/>
        <w:outlineLvl w:val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О том, как составить договор купли-продажи квартиры рассказал руководитель Управления </w:t>
      </w:r>
      <w:r>
        <w:rPr>
          <w:color w:themeColor="text1" w:val="000000"/>
          <w:sz w:val="28"/>
        </w:rPr>
        <w:t>Росреестра</w:t>
      </w:r>
      <w:r>
        <w:rPr>
          <w:color w:themeColor="text1" w:val="000000"/>
          <w:sz w:val="28"/>
        </w:rPr>
        <w:t xml:space="preserve"> по Кабардино-Балкарс</w:t>
      </w:r>
      <w:r>
        <w:rPr>
          <w:color w:themeColor="text1" w:val="000000"/>
          <w:sz w:val="28"/>
        </w:rPr>
        <w:t xml:space="preserve">кой Республике Виталий Дмитриев: </w:t>
      </w:r>
    </w:p>
    <w:p w14:paraId="02000000">
      <w:pPr>
        <w:ind w:firstLine="709"/>
        <w:contextualSpacing w:val="1"/>
        <w:jc w:val="both"/>
        <w:outlineLvl w:val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«В обязательном порядке в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"consultantplus://offline/ref=B95B6EF770BDB150C0C0C5C7F1174D319B6059D1702B0109BA3F709A8E44FB02BD2446556E7DE97EBE9377C60FECI"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договоре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купли-продажи квартиры указываются дата и место его заключения, сведения о каждой стороне договора</w:t>
      </w:r>
      <w:r>
        <w:rPr>
          <w:color w:themeColor="text1" w:val="000000"/>
          <w:sz w:val="28"/>
        </w:rPr>
        <w:t xml:space="preserve"> (фамилия, имя, отчество, паспортные данные, адрес регистрации)</w:t>
      </w:r>
      <w:r>
        <w:rPr>
          <w:color w:themeColor="text1" w:val="000000"/>
          <w:sz w:val="28"/>
        </w:rPr>
        <w:t>, описание квартиры, ее цена и перечень лиц, которые сохраняют право на проживание в квартире. Также в договоре можно указать срок передачи квартиры покупателю</w:t>
      </w:r>
      <w:r>
        <w:rPr>
          <w:color w:themeColor="text1" w:val="000000"/>
          <w:sz w:val="28"/>
        </w:rPr>
        <w:t xml:space="preserve">. </w:t>
      </w:r>
      <w:r>
        <w:rPr>
          <w:color w:themeColor="text1" w:val="000000"/>
          <w:sz w:val="28"/>
        </w:rPr>
        <w:t>Если хотя бы одной из сторон является юридическое лицо, указывается наименование, ИНН, ОГРН, юридический адрес организации.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Если договор заключает не собственник квартиры или не покупатель, то в договоре указываются основания, по которым указанное </w:t>
      </w:r>
      <w:r>
        <w:rPr>
          <w:color w:themeColor="text1" w:val="000000"/>
          <w:sz w:val="28"/>
        </w:rPr>
        <w:t>лицо  действует</w:t>
      </w:r>
      <w:r>
        <w:rPr>
          <w:color w:themeColor="text1" w:val="000000"/>
          <w:sz w:val="28"/>
        </w:rPr>
        <w:t xml:space="preserve"> </w:t>
      </w:r>
      <w:bookmarkStart w:id="1" w:name="_GoBack"/>
      <w:bookmarkEnd w:id="1"/>
      <w:r>
        <w:rPr>
          <w:color w:themeColor="text1" w:val="000000"/>
          <w:sz w:val="28"/>
        </w:rPr>
        <w:t xml:space="preserve"> от их имени.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Если стороной </w:t>
      </w:r>
      <w:r>
        <w:rPr>
          <w:color w:themeColor="text1" w:val="000000"/>
          <w:sz w:val="28"/>
        </w:rPr>
        <w:fldChar w:fldCharType="begin"/>
      </w:r>
      <w:r>
        <w:rPr>
          <w:color w:themeColor="text1" w:val="000000"/>
          <w:sz w:val="28"/>
        </w:rPr>
        <w:instrText>HYPERLINK "consultantplus://offline/ref=B95B6EF770BDB150C0C0C5C7F1174D319E625DDE7A2B0109BA3F709A8E44FB02BD2446556E7DE97EBE9377C60FECI"</w:instrText>
      </w:r>
      <w:r>
        <w:rPr>
          <w:color w:themeColor="text1" w:val="000000"/>
          <w:sz w:val="28"/>
        </w:rPr>
        <w:fldChar w:fldCharType="separate"/>
      </w:r>
      <w:r>
        <w:rPr>
          <w:color w:themeColor="text1" w:val="000000"/>
          <w:sz w:val="28"/>
        </w:rPr>
        <w:t>договора</w:t>
      </w:r>
      <w:r>
        <w:rPr>
          <w:color w:themeColor="text1" w:val="000000"/>
          <w:sz w:val="28"/>
        </w:rPr>
        <w:fldChar w:fldCharType="end"/>
      </w:r>
      <w:r>
        <w:rPr>
          <w:color w:themeColor="text1" w:val="000000"/>
          <w:sz w:val="28"/>
        </w:rPr>
        <w:t xml:space="preserve"> является не достигший 14 лет или недееспособный гражданин, то от его имени договор заключают родители, усыновители или опекуны. Если стороной договора являются несовершеннолетний в возрасте от 14 до 18 лет или гражданин, ограниченный в дееспособности, то они подписывают договор самостоятельно с письменного согласия родителей, усыновителей или попечителя. В этих случаях понадобится разрешение органа опеки и попечительства на проведение сделки. Их согласие понадобится также и в некоторых других случаях: например, когда в квартире проживали члены семьи собственника, находящиеся под опекой или попечительством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 xml:space="preserve"> </w:t>
      </w:r>
    </w:p>
    <w:p w14:paraId="03000000">
      <w:pPr>
        <w:ind w:firstLine="709"/>
        <w:contextualSpacing w:val="1"/>
        <w:jc w:val="both"/>
        <w:outlineLvl w:val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 существенным условиям договора купли-продажи квартиры, в частности, относятся следующие условия.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В договоре должны быть обязательно указаны данные, позволяющие </w:t>
      </w:r>
      <w:r>
        <w:rPr>
          <w:color w:themeColor="text1" w:val="000000"/>
          <w:sz w:val="28"/>
        </w:rPr>
        <w:t>точно</w:t>
      </w:r>
      <w:r>
        <w:rPr>
          <w:color w:themeColor="text1" w:val="000000"/>
          <w:sz w:val="28"/>
        </w:rPr>
        <w:t xml:space="preserve"> установить недвижимое имущество, подлежащее передаче покупателю по договору. К таким данным относится наименование помещения - квартира, ее точный адрес, кадастровый номер, количество</w:t>
      </w:r>
      <w:r>
        <w:rPr>
          <w:color w:themeColor="text1" w:val="000000"/>
          <w:sz w:val="28"/>
        </w:rPr>
        <w:t xml:space="preserve"> комнат, общая и жилая площади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 xml:space="preserve"> Мо</w:t>
      </w:r>
      <w:r>
        <w:rPr>
          <w:color w:themeColor="text1" w:val="000000"/>
          <w:sz w:val="28"/>
        </w:rPr>
        <w:t xml:space="preserve">гут быть </w:t>
      </w:r>
      <w:r>
        <w:rPr>
          <w:color w:themeColor="text1" w:val="000000"/>
          <w:sz w:val="28"/>
        </w:rPr>
        <w:t xml:space="preserve">так же </w:t>
      </w:r>
      <w:r>
        <w:rPr>
          <w:color w:themeColor="text1" w:val="000000"/>
          <w:sz w:val="28"/>
        </w:rPr>
        <w:t>указаны иные идентифицирующие признаки квартиры: этаж, подъезд, количество уровней квартиры, этажность всего дома и пр.</w:t>
      </w:r>
    </w:p>
    <w:p w14:paraId="04000000">
      <w:pPr>
        <w:ind w:firstLine="709"/>
        <w:contextualSpacing w:val="1"/>
        <w:jc w:val="both"/>
        <w:outlineLvl w:val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 договоре можно</w:t>
      </w:r>
      <w:r>
        <w:rPr>
          <w:color w:themeColor="text1" w:val="000000"/>
          <w:sz w:val="28"/>
        </w:rPr>
        <w:t xml:space="preserve"> отразить состояние квартиры, наличие и состояние имущества, которое остается в квартире, технического оборудования и т.д. </w:t>
      </w:r>
    </w:p>
    <w:p w14:paraId="05000000">
      <w:pPr>
        <w:spacing w:before="200"/>
        <w:ind w:firstLine="709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Еще одним существенным условием является ц</w:t>
      </w:r>
      <w:r>
        <w:rPr>
          <w:color w:themeColor="text1" w:val="000000"/>
          <w:sz w:val="28"/>
        </w:rPr>
        <w:t>ена</w:t>
      </w:r>
      <w:r>
        <w:rPr>
          <w:color w:themeColor="text1" w:val="000000"/>
          <w:sz w:val="28"/>
        </w:rPr>
        <w:t xml:space="preserve"> сделки</w:t>
      </w:r>
      <w:r>
        <w:rPr>
          <w:color w:themeColor="text1" w:val="000000"/>
          <w:sz w:val="28"/>
        </w:rPr>
        <w:t>. Она определяется либо по обоюдному соглашению, либо на основании результатов независимой оценки</w:t>
      </w:r>
      <w:r>
        <w:rPr>
          <w:color w:themeColor="text1" w:val="000000"/>
          <w:sz w:val="28"/>
        </w:rPr>
        <w:t>.</w:t>
      </w:r>
    </w:p>
    <w:p w14:paraId="06000000">
      <w:pPr>
        <w:spacing w:before="200"/>
        <w:ind w:firstLine="709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Цена договора указывается в рублях, но может быть указана в рублевом эквиваленте суммы, определенной в иностранной валюте или в условных денежных единицах. В договоре допускается указание цены за единицу площади, в связи с чем цена квартиры определяется исходя из ее площади.</w:t>
      </w:r>
    </w:p>
    <w:p w14:paraId="07000000">
      <w:pPr>
        <w:spacing w:before="200"/>
        <w:ind w:firstLine="709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Также стороны могут определить порядок оп</w:t>
      </w:r>
      <w:r>
        <w:rPr>
          <w:color w:themeColor="text1" w:val="000000"/>
          <w:sz w:val="28"/>
        </w:rPr>
        <w:t>латы, сроки и размеры платежей.</w:t>
      </w:r>
    </w:p>
    <w:p w14:paraId="08000000">
      <w:pPr>
        <w:spacing w:before="200"/>
        <w:ind w:firstLine="709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Существенное условие договора продажи квартиры, в которой проживают лица, сохраняющие в соответствии с законом право пользования этим жилым помещением после его приобретения покупателем. К таким лицам могут относиться, например, наниматели квартиры, проживающие в ней на момент продажи.</w:t>
      </w:r>
    </w:p>
    <w:p w14:paraId="09000000">
      <w:pPr>
        <w:spacing w:before="200"/>
        <w:ind w:firstLine="850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Иными, не менее важными условиями</w:t>
      </w:r>
      <w:r>
        <w:rPr>
          <w:color w:themeColor="text1" w:val="000000"/>
          <w:sz w:val="28"/>
        </w:rPr>
        <w:t xml:space="preserve"> договора купли-продажи квартиры, в частности, относятся </w:t>
      </w:r>
      <w:r>
        <w:rPr>
          <w:color w:themeColor="text1" w:val="000000"/>
          <w:sz w:val="28"/>
        </w:rPr>
        <w:t>сведения о правоустанавливающих документах. Н</w:t>
      </w:r>
      <w:r>
        <w:rPr>
          <w:color w:themeColor="text1" w:val="000000"/>
          <w:sz w:val="28"/>
        </w:rPr>
        <w:t xml:space="preserve">а основании чего квартира была приобретена (договор купли-продажи, решение суда, договор </w:t>
      </w:r>
      <w:r>
        <w:rPr>
          <w:color w:themeColor="text1" w:val="000000"/>
          <w:sz w:val="28"/>
        </w:rPr>
        <w:t>участия в долевом строительстве и т.п.), вид права владения продавца и реквизиты документ</w:t>
      </w:r>
      <w:r>
        <w:rPr>
          <w:color w:themeColor="text1" w:val="000000"/>
          <w:sz w:val="28"/>
        </w:rPr>
        <w:t>а, подтверждающего такое право.</w:t>
      </w:r>
    </w:p>
    <w:p w14:paraId="0A000000">
      <w:pPr>
        <w:spacing w:before="200"/>
        <w:ind w:firstLine="851"/>
        <w:contextualSpacing w:val="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 договоре купли-продажи квартиры желательно предусмотреть условие об отсутствии фактов ареста, зал</w:t>
      </w:r>
      <w:r>
        <w:rPr>
          <w:color w:themeColor="text1" w:val="000000"/>
          <w:sz w:val="28"/>
        </w:rPr>
        <w:t xml:space="preserve">ога и иных ограничений, а </w:t>
      </w:r>
      <w:r>
        <w:rPr>
          <w:color w:themeColor="text1" w:val="000000"/>
          <w:sz w:val="28"/>
        </w:rPr>
        <w:t>так  же</w:t>
      </w:r>
      <w:r>
        <w:rPr>
          <w:color w:themeColor="text1" w:val="000000"/>
          <w:sz w:val="28"/>
        </w:rPr>
        <w:t xml:space="preserve">  срок, в течение которого продавец собирается выехать из продаваемой недвижимости.</w:t>
      </w:r>
      <w:r>
        <w:rPr>
          <w:rFonts w:ascii="Arial" w:hAnsi="Arial"/>
          <w:sz w:val="20"/>
        </w:rPr>
        <w:t xml:space="preserve"> </w:t>
      </w:r>
      <w:r>
        <w:rPr>
          <w:sz w:val="28"/>
        </w:rPr>
        <w:t>Кроме того, в договоре могут быть предусмотрены и другие условия, например</w:t>
      </w:r>
      <w:r>
        <w:rPr>
          <w:sz w:val="28"/>
        </w:rPr>
        <w:t>,</w:t>
      </w:r>
      <w:r>
        <w:rPr>
          <w:sz w:val="28"/>
        </w:rPr>
        <w:t xml:space="preserve"> условие об ответственности сторо</w:t>
      </w:r>
      <w:r>
        <w:rPr>
          <w:sz w:val="28"/>
        </w:rPr>
        <w:t>н за нарушение условий договора».</w:t>
      </w:r>
    </w:p>
    <w:p w14:paraId="0B000000">
      <w:pPr>
        <w:spacing w:before="200"/>
        <w:ind w:firstLine="709"/>
        <w:contextualSpacing w:val="1"/>
        <w:jc w:val="both"/>
        <w:rPr>
          <w:color w:themeColor="text1" w:val="000000"/>
          <w:sz w:val="28"/>
        </w:rPr>
      </w:pPr>
    </w:p>
    <w:sectPr>
      <w:pgSz w:h="16838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apple-converted-space"/>
    <w:basedOn w:val="Style_4"/>
    <w:link w:val="Style_3_ch"/>
  </w:style>
  <w:style w:styleId="Style_3_ch" w:type="character">
    <w:name w:val="apple-converted-space"/>
    <w:basedOn w:val="Style_4_ch"/>
    <w:link w:val="Style_3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Emphasis"/>
    <w:basedOn w:val="Style_4"/>
    <w:link w:val="Style_9_ch"/>
    <w:rPr>
      <w:i w:val="1"/>
    </w:rPr>
  </w:style>
  <w:style w:styleId="Style_9_ch" w:type="character">
    <w:name w:val="Emphasis"/>
    <w:basedOn w:val="Style_4_ch"/>
    <w:link w:val="Style_9"/>
    <w:rPr>
      <w:i w:val="1"/>
    </w:rPr>
  </w:style>
  <w:style w:styleId="Style_10" w:type="paragraph">
    <w:name w:val="toc 3"/>
    <w:next w:val="Style_1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Balloon Text"/>
    <w:basedOn w:val="Style_1"/>
    <w:link w:val="Style_11_ch"/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4"/>
    <w:link w:val="Style_14_ch"/>
    <w:rPr>
      <w:color w:val="0000FF"/>
      <w:u w:val="single"/>
    </w:rPr>
  </w:style>
  <w:style w:styleId="Style_14_ch" w:type="character">
    <w:name w:val="Hyperlink"/>
    <w:basedOn w:val="Style_4_ch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Normal (Web)"/>
    <w:basedOn w:val="Style_1"/>
    <w:link w:val="Style_17_ch"/>
    <w:pPr>
      <w:spacing w:afterAutospacing="on" w:beforeAutospacing="on"/>
      <w:ind/>
    </w:pPr>
  </w:style>
  <w:style w:styleId="Style_17_ch" w:type="character">
    <w:name w:val="Normal (Web)"/>
    <w:basedOn w:val="Style_1_ch"/>
    <w:link w:val="Style_17"/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Основной текст (3)"/>
    <w:basedOn w:val="Style_1"/>
    <w:link w:val="Style_20_ch"/>
    <w:pPr>
      <w:spacing w:line="0" w:lineRule="atLeast"/>
      <w:ind/>
      <w:jc w:val="center"/>
    </w:pPr>
    <w:rPr>
      <w:sz w:val="29"/>
    </w:rPr>
  </w:style>
  <w:style w:styleId="Style_20_ch" w:type="character">
    <w:name w:val="Основной текст (3)"/>
    <w:basedOn w:val="Style_1_ch"/>
    <w:link w:val="Style_20"/>
    <w:rPr>
      <w:sz w:val="29"/>
    </w:rPr>
  </w:style>
  <w:style w:styleId="Style_21" w:type="paragraph">
    <w:name w:val="toc 8"/>
    <w:next w:val="Style_1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1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1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1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Основной текст1"/>
    <w:basedOn w:val="Style_1"/>
    <w:link w:val="Style_27_ch"/>
    <w:pPr>
      <w:spacing w:before="300" w:line="255" w:lineRule="exact"/>
      <w:ind/>
      <w:jc w:val="center"/>
    </w:pPr>
    <w:rPr>
      <w:spacing w:val="-10"/>
      <w:sz w:val="40"/>
    </w:rPr>
  </w:style>
  <w:style w:styleId="Style_27_ch" w:type="character">
    <w:name w:val="Основной текст1"/>
    <w:basedOn w:val="Style_1_ch"/>
    <w:link w:val="Style_27"/>
    <w:rPr>
      <w:spacing w:val="-10"/>
      <w:sz w:val="40"/>
    </w:rPr>
  </w:style>
  <w:style w:styleId="Style_28" w:type="paragraph">
    <w:name w:val="Default"/>
    <w:link w:val="Style_28_ch"/>
    <w:rPr>
      <w:rFonts w:ascii="Segoe UI" w:hAnsi="Segoe UI"/>
      <w:color w:val="000000"/>
    </w:rPr>
  </w:style>
  <w:style w:styleId="Style_28_ch" w:type="character">
    <w:name w:val="Default"/>
    <w:link w:val="Style_28"/>
    <w:rPr>
      <w:rFonts w:ascii="Segoe UI" w:hAnsi="Segoe UI"/>
      <w:color w:val="000000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0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2020-11-10T09:35:21Z</dcterms:modified>
</cp:coreProperties>
</file>